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bidi w:val="1"/>
        <w:spacing w:after="12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2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נספח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פרוט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קטגוריות</w:t>
      </w:r>
    </w:p>
    <w:p w:rsidR="00000000" w:rsidDel="00000000" w:rsidP="00000000" w:rsidRDefault="00000000" w:rsidRPr="00000000" w14:paraId="00000004">
      <w:pPr>
        <w:bidi w:val="1"/>
        <w:spacing w:after="12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פירוט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קטגוריות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–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אליפות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</w:p>
    <w:tbl>
      <w:tblPr>
        <w:tblStyle w:val="Table1"/>
        <w:bidiVisual w:val="1"/>
        <w:tblW w:w="10481.0" w:type="dxa"/>
        <w:jc w:val="left"/>
        <w:tblInd w:w="-7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8"/>
        <w:gridCol w:w="5524"/>
        <w:gridCol w:w="1843"/>
        <w:gridCol w:w="1126"/>
        <w:tblGridChange w:id="0">
          <w:tblGrid>
            <w:gridCol w:w="1988"/>
            <w:gridCol w:w="5524"/>
            <w:gridCol w:w="1843"/>
            <w:gridCol w:w="112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הקטגוריה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תנאי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כניסה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מקצה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צבע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רקע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מקצועית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MX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16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2007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ומבוגר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אופנוע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בנפח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290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450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מרובע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175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250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16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לבן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מקצועית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MX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14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2009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ומבוגר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אופנוע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בנפח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175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250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מרובע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125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16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1"/>
              </w:rPr>
              <w:t xml:space="preserve">שחור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IMX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125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רוקיז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14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ומעלה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2009),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אופנוע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בנפח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100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125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16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צהוב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סניורים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VET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40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1983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ומבוגר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הנפחים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7030a0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סגול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IMX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85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וניור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מקצועי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11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15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2008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),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אופנוע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מעל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65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85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בלבד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14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אפור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IMX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65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סופר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וניור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מקצועי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הוצאת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רשיון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12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2011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65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בלבד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0099ff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תכלת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נשים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14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2009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ומבוגר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נשים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בלבד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ff66ff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ורוד</w:t>
            </w:r>
          </w:p>
        </w:tc>
      </w:tr>
    </w:tbl>
    <w:p w:rsidR="00000000" w:rsidDel="00000000" w:rsidP="00000000" w:rsidRDefault="00000000" w:rsidRPr="00000000" w14:paraId="00000025">
      <w:pPr>
        <w:bidi w:val="1"/>
        <w:spacing w:after="120" w:line="240" w:lineRule="auto"/>
        <w:jc w:val="center"/>
        <w:rPr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u w:val="single"/>
          <w:rtl w:val="1"/>
        </w:rPr>
        <w:t xml:space="preserve">פירוט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קטגוריות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–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ליגת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רוקיז</w:t>
      </w:r>
    </w:p>
    <w:tbl>
      <w:tblPr>
        <w:tblStyle w:val="Table2"/>
        <w:bidiVisual w:val="1"/>
        <w:tblW w:w="10481.0" w:type="dxa"/>
        <w:jc w:val="left"/>
        <w:tblInd w:w="-7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8"/>
        <w:gridCol w:w="5524"/>
        <w:gridCol w:w="1843"/>
        <w:gridCol w:w="1126"/>
        <w:tblGridChange w:id="0">
          <w:tblGrid>
            <w:gridCol w:w="1988"/>
            <w:gridCol w:w="5524"/>
            <w:gridCol w:w="1843"/>
            <w:gridCol w:w="1126"/>
          </w:tblGrid>
        </w:tblGridChange>
      </w:tblGrid>
      <w:tr>
        <w:trPr>
          <w:cantSplit w:val="0"/>
          <w:trHeight w:val="3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הקטגוריה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תנאי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כניסה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מקצה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צבע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רקע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אקספרט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MX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14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2009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ומבוגר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אופנוע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125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ומעלה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175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ומעלה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מרובע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כחול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עממית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בוגרים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14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2009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ומבוגר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אופנוע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125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ומעלה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175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ומעלה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מרובע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1"/>
              </w:rPr>
              <w:t xml:space="preserve">ירוק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רוקיז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11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15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2008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),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אופנוע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מעל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65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85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בלבד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14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לבן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רוקיז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הוצאת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רשיון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12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2011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65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בלבד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צהוב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רוקיז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הוצאת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רשיון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גיל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12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שנתון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2011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כולל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50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65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סמ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דו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בלבד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 + 2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הקפות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1"/>
              </w:rPr>
              <w:t xml:space="preserve">שחור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bidi w:val="1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077" w:top="567" w:left="1077" w:right="1077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777030729,&quot;Height&quot;:841.0,&quot;Width&quot;:595.0,&quot;Placement&quot;:&quot;Footer&quot;,&quot;Index&quot;:&quot;Primary&quot;,&quot;Section&quot;:1,&quot;Top&quot;:0.0,&quot;Left&quot;:0.0}"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Sensitivity: Internal</w:t>
                          </w: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10210800</wp:posOffset>
              </wp:positionV>
              <wp:extent cx="7569835" cy="282575"/>
              <wp:effectExtent b="0" l="0" r="0" t="0"/>
              <wp:wrapNone/>
              <wp:docPr descr="{&quot;HashCode&quot;:777030729,&quot;Height&quot;:841.0,&quot;Width&quot;:595.0,&quot;Placement&quot;:&quot;Footer&quot;,&quot;Index&quot;:&quot;Primary&quot;,&quot;Section&quot;:1,&quot;Top&quot;:0.0,&quot;Left&quot;:0.0}" id="15" name="image4.png"/>
              <a:graphic>
                <a:graphicData uri="http://schemas.openxmlformats.org/drawingml/2006/picture">
                  <pic:pic>
                    <pic:nvPicPr>
                      <pic:cNvPr descr="{&quot;HashCode&quot;:777030729,&quot;Height&quot;:841.0,&quot;Width&quot;:595.0,&quot;Placement&quot;:&quot;Footer&quot;,&quot;Index&quot;:&quot;Primary&quot;,&quot;Section&quot;:1,&quot;Top&quot;:0.0,&quot;Left&quot;:0.0}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-683894</wp:posOffset>
          </wp:positionH>
          <wp:positionV relativeFrom="paragraph">
            <wp:posOffset>-312419</wp:posOffset>
          </wp:positionV>
          <wp:extent cx="7639050" cy="10798175"/>
          <wp:effectExtent b="0" l="0" r="0" t="0"/>
          <wp:wrapNone/>
          <wp:docPr descr="Shape&#10;&#10;Description automatically generated" id="17" name="image1.jpg"/>
          <a:graphic>
            <a:graphicData uri="http://schemas.openxmlformats.org/drawingml/2006/picture">
              <pic:pic>
                <pic:nvPicPr>
                  <pic:cNvPr descr="Shape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9050" cy="1079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4516755</wp:posOffset>
          </wp:positionH>
          <wp:positionV relativeFrom="paragraph">
            <wp:posOffset>-211454</wp:posOffset>
          </wp:positionV>
          <wp:extent cx="2294255" cy="880366"/>
          <wp:effectExtent b="0" l="0" r="0" t="0"/>
          <wp:wrapNone/>
          <wp:docPr descr="A picture containing logo&#10;&#10;Description automatically generated" id="16" name="image3.pn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255" cy="88036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595.7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595.7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1"/>
      <w:shd w:fill="d9d9d9" w:val="clear"/>
      <w:spacing w:after="200" w:line="276" w:lineRule="auto"/>
      <w:ind w:left="720" w:hanging="360"/>
      <w:jc w:val="both"/>
    </w:pPr>
    <w:rPr>
      <w:b w:val="1"/>
    </w:rPr>
  </w:style>
  <w:style w:type="paragraph" w:styleId="Heading2">
    <w:name w:val="heading 2"/>
    <w:basedOn w:val="Normal"/>
    <w:next w:val="Normal"/>
    <w:pPr>
      <w:tabs>
        <w:tab w:val="left" w:leader="none" w:pos="369"/>
      </w:tabs>
      <w:spacing w:after="200" w:line="276" w:lineRule="auto"/>
      <w:ind w:left="1440" w:hanging="360"/>
      <w:jc w:val="both"/>
    </w:pPr>
    <w:rPr>
      <w:b w:val="1"/>
    </w:rPr>
  </w:style>
  <w:style w:type="paragraph" w:styleId="Heading3">
    <w:name w:val="heading 3"/>
    <w:basedOn w:val="Normal"/>
    <w:next w:val="Normal"/>
    <w:pPr>
      <w:tabs>
        <w:tab w:val="left" w:leader="none" w:pos="1077"/>
      </w:tabs>
      <w:spacing w:after="200" w:line="276" w:lineRule="auto"/>
      <w:ind w:left="1361" w:hanging="992"/>
      <w:jc w:val="both"/>
    </w:pPr>
    <w:rPr/>
  </w:style>
  <w:style w:type="paragraph" w:styleId="Heading4">
    <w:name w:val="heading 4"/>
    <w:basedOn w:val="Normal"/>
    <w:next w:val="Normal"/>
    <w:pPr>
      <w:tabs>
        <w:tab w:val="left" w:leader="none" w:pos="2211"/>
      </w:tabs>
      <w:spacing w:after="200" w:line="276" w:lineRule="auto"/>
      <w:ind w:left="1786" w:hanging="708"/>
      <w:jc w:val="both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pageBreakBefore w:val="1"/>
      <w:shd w:color="auto" w:fill="d9d9d9" w:val="clear"/>
      <w:spacing w:after="200" w:line="276" w:lineRule="auto"/>
      <w:ind w:left="720" w:hanging="360"/>
      <w:jc w:val="both"/>
      <w:outlineLvl w:val="0"/>
    </w:pPr>
    <w:rPr>
      <w:b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tabs>
        <w:tab w:val="left" w:pos="369"/>
      </w:tabs>
      <w:spacing w:after="200" w:line="276" w:lineRule="auto"/>
      <w:ind w:left="1440" w:hanging="360"/>
      <w:jc w:val="both"/>
      <w:outlineLvl w:val="1"/>
    </w:pPr>
    <w:rPr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tabs>
        <w:tab w:val="left" w:pos="1077"/>
      </w:tabs>
      <w:spacing w:after="200" w:line="276" w:lineRule="auto"/>
      <w:ind w:left="1361" w:hanging="992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tabs>
        <w:tab w:val="left" w:pos="2211"/>
      </w:tabs>
      <w:spacing w:after="200" w:line="276" w:lineRule="auto"/>
      <w:ind w:left="1786" w:hanging="708"/>
      <w:jc w:val="both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 w:val="1"/>
    <w:rsid w:val="00155D2B"/>
    <w:pPr>
      <w:tabs>
        <w:tab w:val="center" w:pos="4153"/>
        <w:tab w:val="right" w:pos="83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D2B"/>
  </w:style>
  <w:style w:type="paragraph" w:styleId="ListParagraph">
    <w:name w:val="List Paragraph"/>
    <w:basedOn w:val="Normal"/>
    <w:uiPriority w:val="34"/>
    <w:qFormat w:val="1"/>
    <w:rsid w:val="00155D2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CUCDtyvqnUABP6yp8BXmmCNIRg==">AMUW2mXXAln6TvesyMR6D89KVjgO+lX+53QRweBepHIwx8MEZx2MD3WZhKmUU904Q09O5+WFNoeyFtsS2YNp5gQjAygcL3iP3OcuJeG1hpn5zXDcOFZAlpdkfLNnKjDAsCF3AP7b/nm7xYGuxSqmU4OxN9uSqA42Yg==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2023-02-22T14:22:00Z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cd77f9-c127-4203-883e-f7a13c018ab9_Enabled">
    <vt:lpwstr>true</vt:lpwstr>
  </property>
  <property fmtid="{D5CDD505-2E9C-101B-9397-08002B2CF9AE}" pid="3" name="MSIP_Label_31cd77f9-c127-4203-883e-f7a13c018ab9_SetDate">
    <vt:lpwstr>2023-03-08T08:05:58Z</vt:lpwstr>
  </property>
  <property fmtid="{D5CDD505-2E9C-101B-9397-08002B2CF9AE}" pid="4" name="MSIP_Label_31cd77f9-c127-4203-883e-f7a13c018ab9_Method">
    <vt:lpwstr>Standard</vt:lpwstr>
  </property>
  <property fmtid="{D5CDD505-2E9C-101B-9397-08002B2CF9AE}" pid="5" name="MSIP_Label_31cd77f9-c127-4203-883e-f7a13c018ab9_Name">
    <vt:lpwstr>31cd77f9-c127-4203-883e-f7a13c018ab9</vt:lpwstr>
  </property>
  <property fmtid="{D5CDD505-2E9C-101B-9397-08002B2CF9AE}" pid="6" name="MSIP_Label_31cd77f9-c127-4203-883e-f7a13c018ab9_SiteId">
    <vt:lpwstr>4f7d16ef-7616-46a7-9866-fc17a74d8500</vt:lpwstr>
  </property>
  <property fmtid="{D5CDD505-2E9C-101B-9397-08002B2CF9AE}" pid="7" name="MSIP_Label_31cd77f9-c127-4203-883e-f7a13c018ab9_ActionId">
    <vt:lpwstr>e96e9291-bc52-42c8-bbff-3e48ded284de</vt:lpwstr>
  </property>
  <property fmtid="{D5CDD505-2E9C-101B-9397-08002B2CF9AE}" pid="8" name="MSIP_Label_31cd77f9-c127-4203-883e-f7a13c018ab9_ContentBits">
    <vt:lpwstr>2</vt:lpwstr>
  </property>
</Properties>
</file>